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DIGOXIN IN A-FIB RVR: SLOW AND STEADY MAY WIN THE RACE IN SOME </w:t>
      </w:r>
    </w:p>
    <w:p w:rsidR="00B921ED" w:rsidRPr="00966501" w:rsidRDefault="00C500E8" w:rsidP="00063717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b/>
          <w:bCs/>
          <w:u w:val="single"/>
        </w:rPr>
        <w:t xml:space="preserve">T. </w:t>
      </w:r>
      <w:proofErr w:type="spellStart"/>
      <w:r>
        <w:rPr>
          <w:b/>
          <w:bCs/>
          <w:u w:val="single"/>
        </w:rPr>
        <w:t>Mi</w:t>
      </w:r>
      <w:bookmarkStart w:id="0" w:name="_GoBack"/>
      <w:bookmarkEnd w:id="0"/>
      <w:r w:rsidR="002C4946">
        <w:rPr>
          <w:b/>
          <w:bCs/>
          <w:u w:val="single"/>
        </w:rPr>
        <w:t>rza</w:t>
      </w:r>
      <w:proofErr w:type="spellEnd"/>
      <w:r w:rsidR="002C4946" w:rsidRPr="002C4946">
        <w:t xml:space="preserve">, </w:t>
      </w:r>
      <w:r w:rsidR="00032F8E" w:rsidRPr="002C4946">
        <w:t xml:space="preserve">D.S. </w:t>
      </w:r>
      <w:proofErr w:type="spellStart"/>
      <w:r w:rsidR="00032F8E" w:rsidRPr="002C4946">
        <w:t>Dabiesingh</w:t>
      </w:r>
      <w:proofErr w:type="spellEnd"/>
      <w:r w:rsidR="00B921ED">
        <w:t>, E.F. Aziz</w:t>
      </w:r>
    </w:p>
    <w:p w:rsidR="00B921ED" w:rsidRDefault="00B921ED" w:rsidP="00063717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St. Luke's-Roosevelt Hospital Center, Columbia University College of Physicians and Surgeons, New York,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Until the introduction of notably superior beta blockers (BBs) and non-</w:t>
      </w:r>
      <w:proofErr w:type="spellStart"/>
      <w:r>
        <w:t>dihydropyridine</w:t>
      </w:r>
      <w:proofErr w:type="spellEnd"/>
      <w:r>
        <w:t xml:space="preserve"> calcium channel blockers (CCBs), digoxin was the de facto standard for rate control in Atrial Fibrillation with Rapid Ventricular Rates (</w:t>
      </w:r>
      <w:proofErr w:type="spellStart"/>
      <w:r>
        <w:t>AFib</w:t>
      </w:r>
      <w:proofErr w:type="spellEnd"/>
      <w:r>
        <w:t xml:space="preserve"> RVR). With the eventual emergence of populations unable to tolerate BBs and CCBs, a reexamination of the utility of digoxin is warranted. We retrospectively detailed a head to head cohort comparison between non-standardized dose oral digoxin, </w:t>
      </w:r>
      <w:proofErr w:type="spellStart"/>
      <w:r>
        <w:t>diltiazem</w:t>
      </w:r>
      <w:proofErr w:type="spellEnd"/>
      <w:r>
        <w:t xml:space="preserve"> and </w:t>
      </w:r>
      <w:proofErr w:type="spellStart"/>
      <w:r>
        <w:t>metoprolol</w:t>
      </w:r>
      <w:proofErr w:type="spellEnd"/>
      <w:r>
        <w:t xml:space="preserve"> tartrate surveying for practices, time to </w:t>
      </w:r>
      <w:proofErr w:type="spellStart"/>
      <w:r>
        <w:t>hemodynamically</w:t>
      </w:r>
      <w:proofErr w:type="spellEnd"/>
      <w:r>
        <w:t xml:space="preserve"> stable rate control, mode drug dose, adverse outcomes, length of stay and readmis</w:t>
      </w:r>
      <w:r w:rsidR="00032F8E">
        <w:t xml:space="preserve">sion. </w:t>
      </w:r>
      <w:r>
        <w:t xml:space="preserve">43 digoxin, 51 </w:t>
      </w:r>
      <w:proofErr w:type="spellStart"/>
      <w:r>
        <w:t>diltiazem</w:t>
      </w:r>
      <w:proofErr w:type="spellEnd"/>
      <w:r>
        <w:t xml:space="preserve"> and 48 </w:t>
      </w:r>
      <w:proofErr w:type="spellStart"/>
      <w:r>
        <w:t>metoprolol</w:t>
      </w:r>
      <w:proofErr w:type="spellEnd"/>
      <w:r>
        <w:t xml:space="preserve"> patients were compared from a random sample of 300 patients selected from a total of 1178 </w:t>
      </w:r>
      <w:proofErr w:type="spellStart"/>
      <w:r>
        <w:t>AFib</w:t>
      </w:r>
      <w:proofErr w:type="spellEnd"/>
      <w:r>
        <w:t xml:space="preserve"> RVR patients admitted to two Manhattan, New York hospitals between</w:t>
      </w:r>
      <w:r w:rsidR="00032F8E">
        <w:t xml:space="preserve"> July 2007 and September 2011. </w:t>
      </w:r>
      <w:r>
        <w:t xml:space="preserve">Primary outcome rate control data demonstrated significantly less early responders in the digoxin group (adjusted relative risk [RR] 0.48 [95% CI 0.27-0.86]) as compared to </w:t>
      </w:r>
      <w:proofErr w:type="spellStart"/>
      <w:r>
        <w:t>diltiazem</w:t>
      </w:r>
      <w:proofErr w:type="spellEnd"/>
      <w:r>
        <w:t>. However, there were no statistical differences in response among the three drugs beyo</w:t>
      </w:r>
      <w:r w:rsidR="00032F8E">
        <w:t xml:space="preserve">nd eight hours. </w:t>
      </w:r>
      <w:r>
        <w:t xml:space="preserve">Significant secondary outcomes revealed increases in hypotension (RR 0.20 [95% CI 0.04-0.87]) and acute renal injury (RR 0.06 [95% CI 0.00-0.93]) in the </w:t>
      </w:r>
      <w:proofErr w:type="spellStart"/>
      <w:r>
        <w:t>diltiazem</w:t>
      </w:r>
      <w:proofErr w:type="spellEnd"/>
      <w:r w:rsidR="00032F8E">
        <w:t xml:space="preserve"> group as compared to digoxin. </w:t>
      </w:r>
      <w:r>
        <w:t xml:space="preserve">This led us to overall conclude that in the management of </w:t>
      </w:r>
      <w:proofErr w:type="spellStart"/>
      <w:r>
        <w:t>AFib</w:t>
      </w:r>
      <w:proofErr w:type="spellEnd"/>
      <w:r>
        <w:t xml:space="preserve"> RVR, despite fewer early responders to treatment, oral digoxin positions itself as a reasonable alternative to </w:t>
      </w:r>
      <w:proofErr w:type="spellStart"/>
      <w:r>
        <w:t>diltiazem</w:t>
      </w:r>
      <w:proofErr w:type="spellEnd"/>
      <w:r>
        <w:t xml:space="preserve"> in patients intolerant of </w:t>
      </w:r>
      <w:proofErr w:type="spellStart"/>
      <w:r>
        <w:t>metoprolol</w:t>
      </w:r>
      <w:proofErr w:type="spellEnd"/>
      <w:r>
        <w:t>, with less adverse effects of hypotension and acute renal injury.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6650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01" w:rsidRDefault="00966501" w:rsidP="00966501">
      <w:r>
        <w:separator/>
      </w:r>
    </w:p>
  </w:endnote>
  <w:endnote w:type="continuationSeparator" w:id="0">
    <w:p w:rsidR="00966501" w:rsidRDefault="00966501" w:rsidP="009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01" w:rsidRDefault="00966501" w:rsidP="00966501">
      <w:r>
        <w:separator/>
      </w:r>
    </w:p>
  </w:footnote>
  <w:footnote w:type="continuationSeparator" w:id="0">
    <w:p w:rsidR="00966501" w:rsidRDefault="00966501" w:rsidP="0096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01" w:rsidRDefault="00966501" w:rsidP="00966501">
    <w:pPr>
      <w:pStyle w:val="Header"/>
    </w:pPr>
    <w:r>
      <w:t>1530, poster, cat: 45</w:t>
    </w:r>
  </w:p>
  <w:p w:rsidR="00966501" w:rsidRDefault="0096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32F8E"/>
    <w:rsid w:val="00063717"/>
    <w:rsid w:val="002C4946"/>
    <w:rsid w:val="00447B2F"/>
    <w:rsid w:val="00966501"/>
    <w:rsid w:val="00B921ED"/>
    <w:rsid w:val="00C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D91510F8</Template>
  <TotalTime>10</TotalTime>
  <Pages>1</Pages>
  <Words>278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dcterms:created xsi:type="dcterms:W3CDTF">2012-05-10T11:22:00Z</dcterms:created>
  <dcterms:modified xsi:type="dcterms:W3CDTF">2012-06-10T08:15:00Z</dcterms:modified>
</cp:coreProperties>
</file>